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31"/>
        <w:gridCol w:w="12045"/>
      </w:tblGrid>
      <w:tr w:rsidR="001B39F8" w:rsidTr="008C6F93">
        <w:tc>
          <w:tcPr>
            <w:tcW w:w="13176" w:type="dxa"/>
            <w:gridSpan w:val="2"/>
          </w:tcPr>
          <w:p w:rsidR="001B39F8" w:rsidRPr="001B39F8" w:rsidRDefault="001B39F8" w:rsidP="001B39F8">
            <w:pPr>
              <w:pStyle w:val="PlainText"/>
              <w:rPr>
                <w:b/>
                <w:sz w:val="24"/>
                <w:szCs w:val="24"/>
              </w:rPr>
            </w:pPr>
            <w:r w:rsidRPr="001B39F8">
              <w:rPr>
                <w:b/>
                <w:sz w:val="24"/>
                <w:szCs w:val="24"/>
              </w:rPr>
              <w:t>Is your jurisdiction reporting publicly on the progress of your initiatives aimed at promoting childhood and youth health. If so, could you please provide a brief summary of how and/or link to the report?</w:t>
            </w:r>
            <w:r w:rsidR="00A203CF">
              <w:rPr>
                <w:b/>
                <w:sz w:val="24"/>
                <w:szCs w:val="24"/>
              </w:rPr>
              <w:t xml:space="preserve"> (Jennifer Munro-Galloway (ON) September 24 2014)</w:t>
            </w:r>
            <w:bookmarkStart w:id="0" w:name="_GoBack"/>
            <w:bookmarkEnd w:id="0"/>
          </w:p>
          <w:p w:rsidR="001B39F8" w:rsidRPr="001B39F8" w:rsidRDefault="001B39F8" w:rsidP="001B39F8">
            <w:pPr>
              <w:rPr>
                <w:rFonts w:cstheme="minorHAnsi"/>
                <w:color w:val="1F497D"/>
                <w:sz w:val="24"/>
                <w:szCs w:val="24"/>
              </w:rPr>
            </w:pPr>
          </w:p>
        </w:tc>
      </w:tr>
      <w:tr w:rsidR="001B39F8" w:rsidTr="001B39F8">
        <w:tc>
          <w:tcPr>
            <w:tcW w:w="1131" w:type="dxa"/>
          </w:tcPr>
          <w:p w:rsidR="001B39F8" w:rsidRPr="001B39F8" w:rsidRDefault="001B39F8" w:rsidP="001B39F8">
            <w:pPr>
              <w:pStyle w:val="ListParagraph"/>
              <w:numPr>
                <w:ilvl w:val="0"/>
                <w:numId w:val="1"/>
              </w:numPr>
              <w:rPr>
                <w:rFonts w:cstheme="minorHAnsi"/>
                <w:sz w:val="24"/>
                <w:szCs w:val="24"/>
              </w:rPr>
            </w:pPr>
            <w:r w:rsidRPr="001B39F8">
              <w:rPr>
                <w:rFonts w:cstheme="minorHAnsi"/>
                <w:sz w:val="24"/>
                <w:szCs w:val="24"/>
              </w:rPr>
              <w:t>BC</w:t>
            </w:r>
          </w:p>
        </w:tc>
        <w:tc>
          <w:tcPr>
            <w:tcW w:w="12045" w:type="dxa"/>
          </w:tcPr>
          <w:p w:rsidR="001B39F8" w:rsidRPr="001B39F8" w:rsidRDefault="001B39F8" w:rsidP="001B39F8">
            <w:pPr>
              <w:rPr>
                <w:rFonts w:cstheme="minorHAnsi"/>
                <w:color w:val="1F497D"/>
                <w:sz w:val="24"/>
                <w:szCs w:val="24"/>
              </w:rPr>
            </w:pPr>
            <w:r w:rsidRPr="001B39F8">
              <w:rPr>
                <w:rFonts w:cstheme="minorHAnsi"/>
                <w:color w:val="1F497D"/>
                <w:sz w:val="24"/>
                <w:szCs w:val="24"/>
              </w:rPr>
              <w:t>Thanks so much for your email.  We do report publically on our progress related to child and youth health.  Here is an inventory of our public reporting tools, specific to the area of public health/health promotion:  </w:t>
            </w:r>
          </w:p>
          <w:p w:rsidR="001B39F8" w:rsidRPr="001B39F8" w:rsidRDefault="001B39F8" w:rsidP="001B39F8">
            <w:pPr>
              <w:rPr>
                <w:rFonts w:cstheme="minorHAnsi"/>
                <w:color w:val="1F497D"/>
                <w:sz w:val="24"/>
                <w:szCs w:val="24"/>
              </w:rPr>
            </w:pPr>
            <w:r w:rsidRPr="001B39F8">
              <w:rPr>
                <w:rFonts w:cstheme="minorHAnsi"/>
                <w:color w:val="1F497D"/>
                <w:sz w:val="24"/>
                <w:szCs w:val="24"/>
              </w:rPr>
              <w:t xml:space="preserve">1). </w:t>
            </w:r>
            <w:hyperlink r:id="rId7" w:history="1">
              <w:r w:rsidRPr="001B39F8">
                <w:rPr>
                  <w:rStyle w:val="Hyperlink"/>
                  <w:rFonts w:cstheme="minorHAnsi"/>
                  <w:b/>
                  <w:bCs/>
                  <w:sz w:val="24"/>
                  <w:szCs w:val="24"/>
                </w:rPr>
                <w:t xml:space="preserve">BC’s Guiding Framework for Public Health. </w:t>
              </w:r>
            </w:hyperlink>
            <w:r w:rsidRPr="001B39F8">
              <w:rPr>
                <w:rFonts w:cstheme="minorHAnsi"/>
                <w:color w:val="1F497D"/>
                <w:sz w:val="24"/>
                <w:szCs w:val="24"/>
              </w:rPr>
              <w:t> This document outlines BC Public Health’s objectives and performance measures, including targets for 2023 (check out pages 20 and onward for specific objectives and measures).  </w:t>
            </w:r>
          </w:p>
          <w:p w:rsidR="001B39F8" w:rsidRPr="001B39F8" w:rsidRDefault="001B39F8" w:rsidP="001B39F8">
            <w:pPr>
              <w:rPr>
                <w:rFonts w:cstheme="minorHAnsi"/>
                <w:color w:val="1F497D"/>
                <w:sz w:val="24"/>
                <w:szCs w:val="24"/>
              </w:rPr>
            </w:pPr>
            <w:r w:rsidRPr="001B39F8">
              <w:rPr>
                <w:rFonts w:cstheme="minorHAnsi"/>
                <w:color w:val="1F497D"/>
                <w:sz w:val="24"/>
                <w:szCs w:val="24"/>
              </w:rPr>
              <w:t xml:space="preserve">2). </w:t>
            </w:r>
            <w:hyperlink r:id="rId8" w:history="1">
              <w:r w:rsidRPr="001B39F8">
                <w:rPr>
                  <w:rStyle w:val="Hyperlink"/>
                  <w:rFonts w:cstheme="minorHAnsi"/>
                  <w:b/>
                  <w:bCs/>
                  <w:sz w:val="24"/>
                  <w:szCs w:val="24"/>
                </w:rPr>
                <w:t>Early Year’s Annual Report</w:t>
              </w:r>
            </w:hyperlink>
            <w:r w:rsidRPr="001B39F8">
              <w:rPr>
                <w:rFonts w:cstheme="minorHAnsi"/>
                <w:b/>
                <w:bCs/>
                <w:color w:val="1F497D"/>
                <w:sz w:val="24"/>
                <w:szCs w:val="24"/>
              </w:rPr>
              <w:t>:</w:t>
            </w:r>
            <w:r w:rsidRPr="001B39F8">
              <w:rPr>
                <w:rFonts w:cstheme="minorHAnsi"/>
                <w:color w:val="1F497D"/>
                <w:sz w:val="24"/>
                <w:szCs w:val="24"/>
              </w:rPr>
              <w:t xml:space="preserve"> This annual report outlines major activities/accomplishments, as well as expenditures, for supporting the early years by the Ministries of Health, Education, and Children and Family Development. </w:t>
            </w:r>
          </w:p>
          <w:p w:rsidR="001B39F8" w:rsidRPr="001B39F8" w:rsidRDefault="001B39F8" w:rsidP="001B39F8">
            <w:pPr>
              <w:ind w:left="60" w:right="120"/>
              <w:rPr>
                <w:rFonts w:cstheme="minorHAnsi"/>
                <w:color w:val="1F497D"/>
                <w:sz w:val="24"/>
                <w:szCs w:val="24"/>
              </w:rPr>
            </w:pPr>
            <w:r w:rsidRPr="001B39F8">
              <w:rPr>
                <w:rFonts w:cstheme="minorHAnsi"/>
                <w:color w:val="1F497D"/>
                <w:sz w:val="24"/>
                <w:szCs w:val="24"/>
              </w:rPr>
              <w:t xml:space="preserve">3). </w:t>
            </w:r>
            <w:hyperlink r:id="rId9" w:history="1">
              <w:r w:rsidRPr="001B39F8">
                <w:rPr>
                  <w:rStyle w:val="Hyperlink"/>
                  <w:rFonts w:cstheme="minorHAnsi"/>
                  <w:sz w:val="24"/>
                  <w:szCs w:val="24"/>
                </w:rPr>
                <w:t>Provincial Dental Public Health Kindergarten Survey report 2012-13</w:t>
              </w:r>
            </w:hyperlink>
            <w:r w:rsidRPr="001B39F8">
              <w:rPr>
                <w:rFonts w:cstheme="minorHAnsi"/>
                <w:color w:val="1F497D"/>
                <w:sz w:val="24"/>
                <w:szCs w:val="24"/>
              </w:rPr>
              <w:t xml:space="preserve"> : This report shares the findings from the Kindergarten dental survey which is conducted every three years in BC.  </w:t>
            </w:r>
          </w:p>
          <w:p w:rsidR="001B39F8" w:rsidRPr="001B39F8" w:rsidRDefault="001B39F8" w:rsidP="001B39F8">
            <w:pPr>
              <w:rPr>
                <w:rFonts w:cstheme="minorHAnsi"/>
                <w:color w:val="1F497D"/>
                <w:sz w:val="24"/>
                <w:szCs w:val="24"/>
              </w:rPr>
            </w:pPr>
            <w:r w:rsidRPr="001B39F8">
              <w:rPr>
                <w:rFonts w:cstheme="minorHAnsi"/>
                <w:color w:val="1F497D"/>
                <w:sz w:val="24"/>
                <w:szCs w:val="24"/>
              </w:rPr>
              <w:t xml:space="preserve">4). Healthy Schools BC Year One Evaluation: This report is our evaluation of our provincial Healthy Schools initiative and it will be shared publically on our Healthy Schools BC </w:t>
            </w:r>
            <w:hyperlink r:id="rId10" w:history="1">
              <w:r w:rsidRPr="001B39F8">
                <w:rPr>
                  <w:rStyle w:val="Hyperlink"/>
                  <w:rFonts w:cstheme="minorHAnsi"/>
                  <w:sz w:val="24"/>
                  <w:szCs w:val="24"/>
                </w:rPr>
                <w:t>site</w:t>
              </w:r>
            </w:hyperlink>
            <w:r w:rsidRPr="001B39F8">
              <w:rPr>
                <w:rFonts w:cstheme="minorHAnsi"/>
                <w:color w:val="1F497D"/>
                <w:sz w:val="24"/>
                <w:szCs w:val="24"/>
              </w:rPr>
              <w:t xml:space="preserve"> in the near future. </w:t>
            </w:r>
          </w:p>
          <w:p w:rsidR="001B39F8" w:rsidRPr="001B39F8" w:rsidRDefault="001B39F8" w:rsidP="001B39F8">
            <w:pPr>
              <w:rPr>
                <w:rFonts w:cstheme="minorHAnsi"/>
                <w:color w:val="1F497D"/>
                <w:sz w:val="24"/>
                <w:szCs w:val="24"/>
              </w:rPr>
            </w:pPr>
            <w:r w:rsidRPr="001B39F8">
              <w:rPr>
                <w:rFonts w:cstheme="minorHAnsi"/>
                <w:color w:val="1F497D"/>
                <w:sz w:val="24"/>
                <w:szCs w:val="24"/>
              </w:rPr>
              <w:t xml:space="preserve">5). </w:t>
            </w:r>
            <w:hyperlink r:id="rId11" w:history="1">
              <w:r w:rsidRPr="001B39F8">
                <w:rPr>
                  <w:rStyle w:val="Hyperlink"/>
                  <w:rFonts w:cstheme="minorHAnsi"/>
                  <w:sz w:val="24"/>
                  <w:szCs w:val="24"/>
                </w:rPr>
                <w:t>Healthy Minds, Healthy People Progress Report:</w:t>
              </w:r>
            </w:hyperlink>
            <w:r w:rsidRPr="001B39F8">
              <w:rPr>
                <w:rFonts w:cstheme="minorHAnsi"/>
                <w:color w:val="1F497D"/>
                <w:sz w:val="24"/>
                <w:szCs w:val="24"/>
              </w:rPr>
              <w:t xml:space="preserve"> This report shares BC’s progress towards actualizing actions identified in our provinces 10 plan for mental health and substance use. </w:t>
            </w:r>
          </w:p>
          <w:p w:rsidR="001B39F8" w:rsidRPr="001B39F8" w:rsidRDefault="001B39F8" w:rsidP="001B39F8">
            <w:pPr>
              <w:rPr>
                <w:rFonts w:cstheme="minorHAnsi"/>
                <w:color w:val="1F497D"/>
                <w:sz w:val="24"/>
                <w:szCs w:val="24"/>
              </w:rPr>
            </w:pPr>
            <w:r w:rsidRPr="001B39F8">
              <w:rPr>
                <w:rFonts w:cstheme="minorHAnsi"/>
                <w:color w:val="1F497D"/>
                <w:sz w:val="24"/>
                <w:szCs w:val="24"/>
              </w:rPr>
              <w:t xml:space="preserve">Our commonly used provincial surveys which provide data to demonstrate our progress include: the McCreary </w:t>
            </w:r>
            <w:hyperlink r:id="rId12" w:history="1">
              <w:r w:rsidRPr="001B39F8">
                <w:rPr>
                  <w:rStyle w:val="Hyperlink"/>
                  <w:rFonts w:cstheme="minorHAnsi"/>
                  <w:sz w:val="24"/>
                  <w:szCs w:val="24"/>
                </w:rPr>
                <w:t>Adolescent Health Survey</w:t>
              </w:r>
            </w:hyperlink>
            <w:r w:rsidRPr="001B39F8">
              <w:rPr>
                <w:rFonts w:cstheme="minorHAnsi"/>
                <w:color w:val="1F497D"/>
                <w:sz w:val="24"/>
                <w:szCs w:val="24"/>
              </w:rPr>
              <w:t xml:space="preserve">, the </w:t>
            </w:r>
            <w:hyperlink r:id="rId13" w:history="1">
              <w:r w:rsidRPr="001B39F8">
                <w:rPr>
                  <w:rStyle w:val="Hyperlink"/>
                  <w:rFonts w:cstheme="minorHAnsi"/>
                  <w:sz w:val="24"/>
                  <w:szCs w:val="24"/>
                </w:rPr>
                <w:t>Early Years Development Instrument</w:t>
              </w:r>
            </w:hyperlink>
            <w:r w:rsidRPr="001B39F8">
              <w:rPr>
                <w:rFonts w:cstheme="minorHAnsi"/>
                <w:color w:val="1F497D"/>
                <w:sz w:val="24"/>
                <w:szCs w:val="24"/>
              </w:rPr>
              <w:t xml:space="preserve">, and the </w:t>
            </w:r>
            <w:hyperlink r:id="rId14" w:history="1">
              <w:r w:rsidRPr="001B39F8">
                <w:rPr>
                  <w:rStyle w:val="Hyperlink"/>
                  <w:rFonts w:cstheme="minorHAnsi"/>
                  <w:sz w:val="24"/>
                  <w:szCs w:val="24"/>
                </w:rPr>
                <w:t>Student Satisfaction Survey</w:t>
              </w:r>
            </w:hyperlink>
            <w:r w:rsidRPr="001B39F8">
              <w:rPr>
                <w:rFonts w:cstheme="minorHAnsi"/>
                <w:color w:val="1F497D"/>
                <w:sz w:val="24"/>
                <w:szCs w:val="24"/>
              </w:rPr>
              <w:t xml:space="preserve">. </w:t>
            </w:r>
          </w:p>
          <w:p w:rsidR="001B39F8" w:rsidRPr="001B39F8" w:rsidRDefault="001B39F8">
            <w:pPr>
              <w:rPr>
                <w:rFonts w:cstheme="minorHAnsi"/>
                <w:sz w:val="24"/>
                <w:szCs w:val="24"/>
              </w:rPr>
            </w:pPr>
          </w:p>
        </w:tc>
      </w:tr>
      <w:tr w:rsidR="001B39F8" w:rsidTr="001B39F8">
        <w:tc>
          <w:tcPr>
            <w:tcW w:w="1131" w:type="dxa"/>
          </w:tcPr>
          <w:p w:rsidR="001B39F8" w:rsidRPr="001B39F8" w:rsidRDefault="001B39F8" w:rsidP="001B39F8">
            <w:pPr>
              <w:pStyle w:val="ListParagraph"/>
              <w:numPr>
                <w:ilvl w:val="0"/>
                <w:numId w:val="1"/>
              </w:numPr>
              <w:rPr>
                <w:rFonts w:cstheme="minorHAnsi"/>
                <w:sz w:val="24"/>
                <w:szCs w:val="24"/>
              </w:rPr>
            </w:pPr>
            <w:r w:rsidRPr="001B39F8">
              <w:rPr>
                <w:rFonts w:cstheme="minorHAnsi"/>
                <w:sz w:val="24"/>
                <w:szCs w:val="24"/>
              </w:rPr>
              <w:t>MB</w:t>
            </w:r>
          </w:p>
        </w:tc>
        <w:tc>
          <w:tcPr>
            <w:tcW w:w="12045" w:type="dxa"/>
          </w:tcPr>
          <w:p w:rsidR="001B39F8" w:rsidRPr="001B39F8" w:rsidRDefault="001B39F8" w:rsidP="001B39F8">
            <w:pPr>
              <w:rPr>
                <w:rFonts w:cstheme="minorHAnsi"/>
                <w:color w:val="1F497D"/>
                <w:sz w:val="24"/>
                <w:szCs w:val="24"/>
                <w:lang w:val="en-US"/>
              </w:rPr>
            </w:pPr>
            <w:r w:rsidRPr="001B39F8">
              <w:rPr>
                <w:rFonts w:cstheme="minorHAnsi"/>
                <w:color w:val="1F497D"/>
                <w:sz w:val="24"/>
                <w:szCs w:val="24"/>
              </w:rPr>
              <w:t xml:space="preserve">CPPHO report - </w:t>
            </w:r>
            <w:hyperlink r:id="rId15" w:history="1">
              <w:r w:rsidRPr="001B39F8">
                <w:rPr>
                  <w:rStyle w:val="Hyperlink"/>
                  <w:rFonts w:cstheme="minorHAnsi"/>
                  <w:sz w:val="24"/>
                  <w:szCs w:val="24"/>
                </w:rPr>
                <w:t>http://www.gov.mb.ca/health/cppho/</w:t>
              </w:r>
            </w:hyperlink>
          </w:p>
          <w:p w:rsidR="001B39F8" w:rsidRPr="001B39F8" w:rsidRDefault="001B39F8" w:rsidP="001B39F8">
            <w:pPr>
              <w:rPr>
                <w:rFonts w:cstheme="minorHAnsi"/>
                <w:color w:val="1F497D"/>
                <w:sz w:val="24"/>
                <w:szCs w:val="24"/>
                <w:lang w:val="en-US"/>
              </w:rPr>
            </w:pPr>
            <w:r w:rsidRPr="001B39F8">
              <w:rPr>
                <w:rFonts w:cstheme="minorHAnsi"/>
                <w:color w:val="1F497D"/>
                <w:sz w:val="24"/>
                <w:szCs w:val="24"/>
                <w:lang w:val="en-US"/>
              </w:rPr>
              <w:t xml:space="preserve">Healthy Together Now posts progress reports &amp; evaluation reports online  - these reports are from the demonstration  project (2005-2010) so are now  are quite dated </w:t>
            </w:r>
            <w:hyperlink r:id="rId16" w:history="1">
              <w:r w:rsidRPr="001B39F8">
                <w:rPr>
                  <w:rStyle w:val="Hyperlink"/>
                  <w:rFonts w:cstheme="minorHAnsi"/>
                  <w:sz w:val="24"/>
                  <w:szCs w:val="24"/>
                  <w:lang w:val="en-US"/>
                </w:rPr>
                <w:t>http://healthy.healthincommon.ca/organization/evaluations-and-reports/</w:t>
              </w:r>
            </w:hyperlink>
            <w:r w:rsidRPr="001B39F8">
              <w:rPr>
                <w:rFonts w:cstheme="minorHAnsi"/>
                <w:color w:val="1F497D"/>
                <w:sz w:val="24"/>
                <w:szCs w:val="24"/>
                <w:lang w:val="en-US"/>
              </w:rPr>
              <w:t>.</w:t>
            </w:r>
          </w:p>
          <w:p w:rsidR="001B39F8" w:rsidRPr="001B39F8" w:rsidRDefault="001B39F8" w:rsidP="001B39F8">
            <w:pPr>
              <w:rPr>
                <w:rFonts w:cstheme="minorHAnsi"/>
                <w:color w:val="1F497D"/>
                <w:sz w:val="24"/>
                <w:szCs w:val="24"/>
              </w:rPr>
            </w:pPr>
            <w:r w:rsidRPr="001B39F8">
              <w:rPr>
                <w:rFonts w:cstheme="minorHAnsi"/>
                <w:color w:val="1F497D"/>
                <w:sz w:val="24"/>
                <w:szCs w:val="24"/>
              </w:rPr>
              <w:t xml:space="preserve">The Healthy Food in Schools website has the 2009 school nutrition survey. </w:t>
            </w:r>
            <w:hyperlink r:id="rId17" w:history="1">
              <w:r w:rsidRPr="001B39F8">
                <w:rPr>
                  <w:rStyle w:val="Hyperlink"/>
                  <w:rFonts w:cstheme="minorHAnsi"/>
                  <w:sz w:val="24"/>
                  <w:szCs w:val="24"/>
                </w:rPr>
                <w:t>http://www.gov.mb.ca/healthyschools/foodinschools/index.html</w:t>
              </w:r>
            </w:hyperlink>
          </w:p>
          <w:p w:rsidR="001B39F8" w:rsidRDefault="001B39F8">
            <w:pPr>
              <w:rPr>
                <w:rFonts w:cstheme="minorHAnsi"/>
                <w:sz w:val="24"/>
                <w:szCs w:val="24"/>
              </w:rPr>
            </w:pPr>
          </w:p>
          <w:p w:rsidR="00953074" w:rsidRDefault="00953074" w:rsidP="00953074">
            <w:pPr>
              <w:pStyle w:val="NormalWeb"/>
              <w:shd w:val="clear" w:color="auto" w:fill="FFFFFF"/>
              <w:spacing w:line="240" w:lineRule="atLeast"/>
              <w:rPr>
                <w:rFonts w:ascii="Arial" w:hAnsi="Arial" w:cs="Arial"/>
                <w:sz w:val="18"/>
                <w:szCs w:val="18"/>
              </w:rPr>
            </w:pPr>
            <w:r>
              <w:rPr>
                <w:rStyle w:val="Strong"/>
                <w:rFonts w:ascii="Arial" w:hAnsi="Arial" w:cs="Arial"/>
                <w:sz w:val="18"/>
                <w:szCs w:val="18"/>
              </w:rPr>
              <w:t>Five Year Status Report on Children in Manitoba</w:t>
            </w:r>
            <w:r>
              <w:rPr>
                <w:rFonts w:ascii="Arial" w:hAnsi="Arial" w:cs="Arial"/>
                <w:sz w:val="18"/>
                <w:szCs w:val="18"/>
              </w:rPr>
              <w:br/>
              <w:t xml:space="preserve">Section 15(1) of the </w:t>
            </w:r>
            <w:hyperlink r:id="rId18" w:history="1">
              <w:r>
                <w:rPr>
                  <w:rStyle w:val="Hyperlink"/>
                  <w:rFonts w:ascii="Arial" w:hAnsi="Arial" w:cs="Arial"/>
                  <w:sz w:val="18"/>
                  <w:szCs w:val="18"/>
                </w:rPr>
                <w:t>Healthy Child Manitoba Act</w:t>
              </w:r>
            </w:hyperlink>
            <w:r>
              <w:rPr>
                <w:rFonts w:ascii="Arial" w:hAnsi="Arial" w:cs="Arial"/>
                <w:sz w:val="18"/>
                <w:szCs w:val="18"/>
              </w:rPr>
              <w:t xml:space="preserve"> states ‘At least once every five years, the Healthy Child Manitoba Office must give the minister a report on the status of Manitoba's children in relation to achieving the outcomes of the Healthy Child Manitoba strategy. ‘   The inaugural Five Year Status report will provide information on the four goals of Healthy Child Manitoba:  ‘To their fullest potential, Manitoba's children will be: </w:t>
            </w:r>
          </w:p>
          <w:p w:rsidR="00953074" w:rsidRDefault="00953074" w:rsidP="00953074">
            <w:pPr>
              <w:numPr>
                <w:ilvl w:val="0"/>
                <w:numId w:val="2"/>
              </w:numPr>
              <w:shd w:val="clear" w:color="auto" w:fill="FFFFFF"/>
              <w:spacing w:before="100" w:beforeAutospacing="1" w:after="100" w:afterAutospacing="1" w:line="240" w:lineRule="atLeast"/>
              <w:rPr>
                <w:rFonts w:ascii="Arial" w:eastAsia="Times New Roman" w:hAnsi="Arial" w:cs="Arial"/>
                <w:sz w:val="18"/>
                <w:szCs w:val="18"/>
              </w:rPr>
            </w:pPr>
            <w:r>
              <w:rPr>
                <w:rFonts w:ascii="Arial" w:eastAsia="Times New Roman" w:hAnsi="Arial" w:cs="Arial"/>
                <w:sz w:val="18"/>
                <w:szCs w:val="18"/>
              </w:rPr>
              <w:t xml:space="preserve">physically and emotionally healthy </w:t>
            </w:r>
          </w:p>
          <w:p w:rsidR="00953074" w:rsidRDefault="00953074" w:rsidP="00953074">
            <w:pPr>
              <w:numPr>
                <w:ilvl w:val="0"/>
                <w:numId w:val="2"/>
              </w:numPr>
              <w:shd w:val="clear" w:color="auto" w:fill="FFFFFF"/>
              <w:spacing w:before="100" w:beforeAutospacing="1" w:after="100" w:afterAutospacing="1" w:line="240" w:lineRule="atLeast"/>
              <w:rPr>
                <w:rFonts w:ascii="Arial" w:eastAsia="Times New Roman" w:hAnsi="Arial" w:cs="Arial"/>
                <w:sz w:val="18"/>
                <w:szCs w:val="18"/>
              </w:rPr>
            </w:pPr>
            <w:r>
              <w:rPr>
                <w:rFonts w:ascii="Arial" w:eastAsia="Times New Roman" w:hAnsi="Arial" w:cs="Arial"/>
                <w:sz w:val="18"/>
                <w:szCs w:val="18"/>
              </w:rPr>
              <w:lastRenderedPageBreak/>
              <w:t xml:space="preserve">safe and secure </w:t>
            </w:r>
          </w:p>
          <w:p w:rsidR="00953074" w:rsidRDefault="00953074" w:rsidP="00953074">
            <w:pPr>
              <w:numPr>
                <w:ilvl w:val="0"/>
                <w:numId w:val="2"/>
              </w:numPr>
              <w:shd w:val="clear" w:color="auto" w:fill="FFFFFF"/>
              <w:spacing w:before="100" w:beforeAutospacing="1" w:after="100" w:afterAutospacing="1" w:line="240" w:lineRule="atLeast"/>
              <w:rPr>
                <w:rFonts w:ascii="Arial" w:eastAsia="Times New Roman" w:hAnsi="Arial" w:cs="Arial"/>
                <w:sz w:val="18"/>
                <w:szCs w:val="18"/>
              </w:rPr>
            </w:pPr>
            <w:r>
              <w:rPr>
                <w:rFonts w:ascii="Arial" w:eastAsia="Times New Roman" w:hAnsi="Arial" w:cs="Arial"/>
                <w:sz w:val="18"/>
                <w:szCs w:val="18"/>
              </w:rPr>
              <w:t xml:space="preserve">successful at learning </w:t>
            </w:r>
          </w:p>
          <w:p w:rsidR="00953074" w:rsidRDefault="00953074" w:rsidP="00953074">
            <w:pPr>
              <w:numPr>
                <w:ilvl w:val="0"/>
                <w:numId w:val="2"/>
              </w:numPr>
              <w:shd w:val="clear" w:color="auto" w:fill="FFFFFF"/>
              <w:spacing w:before="100" w:beforeAutospacing="1" w:after="100" w:afterAutospacing="1" w:line="240" w:lineRule="atLeast"/>
              <w:rPr>
                <w:rFonts w:ascii="Arial" w:eastAsia="Times New Roman" w:hAnsi="Arial" w:cs="Arial"/>
                <w:sz w:val="18"/>
                <w:szCs w:val="18"/>
              </w:rPr>
            </w:pPr>
            <w:r>
              <w:rPr>
                <w:rFonts w:ascii="Arial" w:eastAsia="Times New Roman" w:hAnsi="Arial" w:cs="Arial"/>
                <w:sz w:val="18"/>
                <w:szCs w:val="18"/>
              </w:rPr>
              <w:t>socially engaged and responsible</w:t>
            </w:r>
          </w:p>
          <w:p w:rsidR="00953074" w:rsidRDefault="00953074" w:rsidP="00953074">
            <w:pPr>
              <w:pStyle w:val="NormalWeb"/>
              <w:shd w:val="clear" w:color="auto" w:fill="FFFFFF"/>
              <w:spacing w:line="240" w:lineRule="atLeast"/>
              <w:rPr>
                <w:rFonts w:ascii="Arial" w:hAnsi="Arial" w:cs="Arial"/>
                <w:sz w:val="18"/>
                <w:szCs w:val="18"/>
              </w:rPr>
            </w:pPr>
            <w:r>
              <w:rPr>
                <w:rFonts w:ascii="Arial" w:hAnsi="Arial" w:cs="Arial"/>
                <w:sz w:val="18"/>
                <w:szCs w:val="18"/>
              </w:rPr>
              <w:t xml:space="preserve">HCMO’s first </w:t>
            </w:r>
            <w:hyperlink r:id="rId19" w:history="1">
              <w:r>
                <w:rPr>
                  <w:rStyle w:val="Hyperlink"/>
                  <w:rFonts w:ascii="Arial" w:hAnsi="Arial" w:cs="Arial"/>
                  <w:sz w:val="18"/>
                  <w:szCs w:val="18"/>
                </w:rPr>
                <w:t xml:space="preserve">Five Year report </w:t>
              </w:r>
            </w:hyperlink>
            <w:r>
              <w:rPr>
                <w:rFonts w:ascii="Arial" w:hAnsi="Arial" w:cs="Arial"/>
                <w:sz w:val="18"/>
                <w:szCs w:val="18"/>
              </w:rPr>
              <w:t>was completed in 2012.</w:t>
            </w:r>
          </w:p>
          <w:p w:rsidR="00953074" w:rsidRPr="001B39F8" w:rsidRDefault="00953074">
            <w:pPr>
              <w:rPr>
                <w:rFonts w:cstheme="minorHAnsi"/>
                <w:sz w:val="24"/>
                <w:szCs w:val="24"/>
              </w:rPr>
            </w:pPr>
          </w:p>
        </w:tc>
      </w:tr>
      <w:tr w:rsidR="001B39F8" w:rsidTr="001B39F8">
        <w:tc>
          <w:tcPr>
            <w:tcW w:w="1131" w:type="dxa"/>
          </w:tcPr>
          <w:p w:rsidR="001B39F8" w:rsidRPr="001B39F8" w:rsidRDefault="001B39F8" w:rsidP="001B39F8">
            <w:pPr>
              <w:pStyle w:val="ListParagraph"/>
              <w:numPr>
                <w:ilvl w:val="0"/>
                <w:numId w:val="1"/>
              </w:numPr>
              <w:rPr>
                <w:rFonts w:cstheme="minorHAnsi"/>
                <w:sz w:val="24"/>
                <w:szCs w:val="24"/>
              </w:rPr>
            </w:pPr>
            <w:r w:rsidRPr="001B39F8">
              <w:rPr>
                <w:rFonts w:cstheme="minorHAnsi"/>
                <w:sz w:val="24"/>
                <w:szCs w:val="24"/>
              </w:rPr>
              <w:lastRenderedPageBreak/>
              <w:t>PE</w:t>
            </w:r>
          </w:p>
        </w:tc>
        <w:tc>
          <w:tcPr>
            <w:tcW w:w="12045" w:type="dxa"/>
          </w:tcPr>
          <w:p w:rsidR="001B39F8" w:rsidRPr="001B39F8" w:rsidRDefault="001B39F8" w:rsidP="001B39F8">
            <w:pPr>
              <w:pStyle w:val="PlainText"/>
              <w:rPr>
                <w:rFonts w:asciiTheme="minorHAnsi" w:hAnsiTheme="minorHAnsi" w:cstheme="minorHAnsi"/>
                <w:sz w:val="24"/>
                <w:szCs w:val="24"/>
              </w:rPr>
            </w:pPr>
            <w:r w:rsidRPr="001B39F8">
              <w:rPr>
                <w:rFonts w:asciiTheme="minorHAnsi" w:hAnsiTheme="minorHAnsi" w:cstheme="minorHAnsi"/>
                <w:sz w:val="24"/>
                <w:szCs w:val="24"/>
              </w:rPr>
              <w:t>We do not do this (that I know of)?? But..... may in the future as the province is planning to release a new 'wellness strategy' in the next few months.</w:t>
            </w:r>
          </w:p>
          <w:p w:rsidR="001B39F8" w:rsidRPr="001B39F8" w:rsidRDefault="001B39F8">
            <w:pPr>
              <w:rPr>
                <w:rFonts w:cstheme="minorHAnsi"/>
                <w:sz w:val="24"/>
                <w:szCs w:val="24"/>
              </w:rPr>
            </w:pPr>
          </w:p>
        </w:tc>
      </w:tr>
      <w:tr w:rsidR="001B39F8" w:rsidTr="001B39F8">
        <w:tc>
          <w:tcPr>
            <w:tcW w:w="1131" w:type="dxa"/>
          </w:tcPr>
          <w:p w:rsidR="001B39F8" w:rsidRPr="001B39F8" w:rsidRDefault="001B39F8" w:rsidP="001B39F8">
            <w:pPr>
              <w:pStyle w:val="ListParagraph"/>
              <w:numPr>
                <w:ilvl w:val="0"/>
                <w:numId w:val="1"/>
              </w:numPr>
              <w:rPr>
                <w:rFonts w:cstheme="minorHAnsi"/>
                <w:sz w:val="24"/>
                <w:szCs w:val="24"/>
              </w:rPr>
            </w:pPr>
            <w:r w:rsidRPr="001B39F8">
              <w:rPr>
                <w:rFonts w:cstheme="minorHAnsi"/>
                <w:sz w:val="24"/>
                <w:szCs w:val="24"/>
              </w:rPr>
              <w:t>NL</w:t>
            </w:r>
          </w:p>
        </w:tc>
        <w:tc>
          <w:tcPr>
            <w:tcW w:w="12045" w:type="dxa"/>
          </w:tcPr>
          <w:p w:rsidR="001B39F8" w:rsidRPr="001B39F8" w:rsidRDefault="001B39F8" w:rsidP="001B39F8">
            <w:pPr>
              <w:rPr>
                <w:rFonts w:ascii="Calibri" w:hAnsi="Calibri" w:cs="Calibri"/>
                <w:color w:val="1F497D"/>
                <w:sz w:val="24"/>
                <w:szCs w:val="24"/>
                <w:lang w:val="en-US"/>
              </w:rPr>
            </w:pPr>
            <w:r w:rsidRPr="001B39F8">
              <w:rPr>
                <w:rFonts w:ascii="Calibri" w:hAnsi="Calibri" w:cs="Calibri"/>
                <w:color w:val="1F497D"/>
                <w:sz w:val="24"/>
                <w:szCs w:val="24"/>
                <w:lang w:val="en-US"/>
              </w:rPr>
              <w:t xml:space="preserve"> I am not sure, but the following reports may be helpful in demonstrating what is publicly reported  from the departments of Child, Youth and Family Services and Education but are not specific to health </w:t>
            </w:r>
          </w:p>
          <w:p w:rsidR="001B39F8" w:rsidRPr="001B39F8" w:rsidRDefault="00A203CF" w:rsidP="001B39F8">
            <w:pPr>
              <w:rPr>
                <w:rFonts w:ascii="Calibri" w:hAnsi="Calibri" w:cs="Calibri"/>
                <w:color w:val="1F497D"/>
                <w:sz w:val="24"/>
                <w:szCs w:val="24"/>
                <w:lang w:val="en-US"/>
              </w:rPr>
            </w:pPr>
            <w:hyperlink r:id="rId20" w:history="1">
              <w:r w:rsidR="001B39F8" w:rsidRPr="001B39F8">
                <w:rPr>
                  <w:rStyle w:val="Hyperlink"/>
                  <w:rFonts w:ascii="Calibri" w:hAnsi="Calibri" w:cs="Calibri"/>
                  <w:sz w:val="24"/>
                  <w:szCs w:val="24"/>
                  <w:lang w:val="en-US"/>
                </w:rPr>
                <w:t>http://www.ed.gov.nl.ca/edu/publications/annualreports/doe_ar1314.pdf</w:t>
              </w:r>
            </w:hyperlink>
          </w:p>
          <w:p w:rsidR="001B39F8" w:rsidRPr="001B39F8" w:rsidRDefault="00A203CF" w:rsidP="001B39F8">
            <w:pPr>
              <w:rPr>
                <w:rFonts w:ascii="Calibri" w:hAnsi="Calibri" w:cs="Calibri"/>
                <w:color w:val="1F497D"/>
                <w:sz w:val="24"/>
                <w:szCs w:val="24"/>
                <w:lang w:val="en-US"/>
              </w:rPr>
            </w:pPr>
            <w:hyperlink r:id="rId21" w:history="1">
              <w:r w:rsidR="001B39F8" w:rsidRPr="001B39F8">
                <w:rPr>
                  <w:rStyle w:val="Hyperlink"/>
                  <w:rFonts w:ascii="Calibri" w:hAnsi="Calibri" w:cs="Calibri"/>
                  <w:sz w:val="24"/>
                  <w:szCs w:val="24"/>
                  <w:lang w:val="en-US"/>
                </w:rPr>
                <w:t>http://www.ed.gov.nl.ca/edu/earlychildhood/initiatives.html</w:t>
              </w:r>
            </w:hyperlink>
          </w:p>
          <w:p w:rsidR="001B39F8" w:rsidRPr="001B39F8" w:rsidRDefault="001B39F8" w:rsidP="001B39F8">
            <w:pPr>
              <w:rPr>
                <w:rFonts w:ascii="Calibri" w:hAnsi="Calibri" w:cs="Calibri"/>
                <w:color w:val="1F497D"/>
                <w:sz w:val="24"/>
                <w:szCs w:val="24"/>
                <w:lang w:val="en-US"/>
              </w:rPr>
            </w:pPr>
            <w:r w:rsidRPr="001B39F8">
              <w:rPr>
                <w:rFonts w:ascii="Calibri" w:hAnsi="Calibri" w:cs="Calibri"/>
                <w:color w:val="1F497D"/>
                <w:sz w:val="24"/>
                <w:szCs w:val="24"/>
                <w:lang w:val="en-US"/>
              </w:rPr>
              <w:t xml:space="preserve">from health we have these documents </w:t>
            </w:r>
          </w:p>
          <w:p w:rsidR="001B39F8" w:rsidRPr="001B39F8" w:rsidRDefault="00A203CF" w:rsidP="001B39F8">
            <w:pPr>
              <w:rPr>
                <w:rFonts w:ascii="Calibri" w:hAnsi="Calibri" w:cs="Calibri"/>
                <w:color w:val="1F497D"/>
                <w:sz w:val="24"/>
                <w:szCs w:val="24"/>
                <w:lang w:val="en-US"/>
              </w:rPr>
            </w:pPr>
            <w:hyperlink r:id="rId22" w:history="1">
              <w:r w:rsidR="001B39F8" w:rsidRPr="001B39F8">
                <w:rPr>
                  <w:rStyle w:val="Hyperlink"/>
                  <w:sz w:val="24"/>
                  <w:szCs w:val="24"/>
                  <w:lang w:val="en-US"/>
                </w:rPr>
                <w:t> </w:t>
              </w:r>
              <w:r w:rsidR="001B39F8" w:rsidRPr="001B39F8">
                <w:rPr>
                  <w:rStyle w:val="Hyperlink"/>
                  <w:rFonts w:ascii="Calibri" w:hAnsi="Calibri" w:cs="Calibri"/>
                  <w:sz w:val="24"/>
                  <w:szCs w:val="24"/>
                  <w:lang w:val="en-US"/>
                </w:rPr>
                <w:t xml:space="preserve">http://www.health.gov.nl.ca/health/publications/DHCS_Annual_Performance_Report_2012-13.pdf </w:t>
              </w:r>
            </w:hyperlink>
          </w:p>
          <w:p w:rsidR="001B39F8" w:rsidRPr="001B39F8" w:rsidRDefault="00A203CF" w:rsidP="001B39F8">
            <w:pPr>
              <w:rPr>
                <w:rFonts w:ascii="Calibri" w:hAnsi="Calibri" w:cs="Calibri"/>
                <w:color w:val="1F497D"/>
                <w:sz w:val="24"/>
                <w:szCs w:val="24"/>
                <w:lang w:val="en-US"/>
              </w:rPr>
            </w:pPr>
            <w:hyperlink r:id="rId23" w:history="1">
              <w:r w:rsidR="001B39F8" w:rsidRPr="001B39F8">
                <w:rPr>
                  <w:rStyle w:val="Hyperlink"/>
                  <w:rFonts w:ascii="Calibri" w:hAnsi="Calibri" w:cs="Calibri"/>
                  <w:sz w:val="24"/>
                  <w:szCs w:val="24"/>
                  <w:lang w:val="en-US"/>
                </w:rPr>
                <w:t>http://www.health.gov.nl.ca/health/publications/Provincial_Wellness_Advisory_Council_2014-17_Activity_Plan.pdf</w:t>
              </w:r>
            </w:hyperlink>
          </w:p>
          <w:p w:rsidR="001B39F8" w:rsidRPr="001B39F8" w:rsidRDefault="001B39F8">
            <w:pPr>
              <w:rPr>
                <w:rFonts w:cstheme="minorHAnsi"/>
                <w:sz w:val="24"/>
                <w:szCs w:val="24"/>
                <w:lang w:val="en-US"/>
              </w:rPr>
            </w:pPr>
          </w:p>
        </w:tc>
      </w:tr>
      <w:tr w:rsidR="001B39F8" w:rsidTr="001B39F8">
        <w:tc>
          <w:tcPr>
            <w:tcW w:w="1131" w:type="dxa"/>
          </w:tcPr>
          <w:p w:rsidR="001B39F8" w:rsidRPr="001B39F8" w:rsidRDefault="001B39F8" w:rsidP="001B39F8">
            <w:pPr>
              <w:pStyle w:val="ListParagraph"/>
              <w:numPr>
                <w:ilvl w:val="0"/>
                <w:numId w:val="1"/>
              </w:numPr>
              <w:rPr>
                <w:rFonts w:cstheme="minorHAnsi"/>
                <w:sz w:val="24"/>
                <w:szCs w:val="24"/>
              </w:rPr>
            </w:pPr>
            <w:r w:rsidRPr="001B39F8">
              <w:rPr>
                <w:rFonts w:cstheme="minorHAnsi"/>
                <w:sz w:val="24"/>
                <w:szCs w:val="24"/>
              </w:rPr>
              <w:t>NB</w:t>
            </w:r>
          </w:p>
        </w:tc>
        <w:tc>
          <w:tcPr>
            <w:tcW w:w="12045" w:type="dxa"/>
          </w:tcPr>
          <w:p w:rsidR="001B39F8" w:rsidRPr="001B39F8" w:rsidRDefault="001B39F8" w:rsidP="001B39F8">
            <w:pPr>
              <w:rPr>
                <w:rFonts w:cstheme="minorHAnsi"/>
                <w:color w:val="1F497D"/>
                <w:sz w:val="24"/>
                <w:szCs w:val="24"/>
              </w:rPr>
            </w:pPr>
            <w:r w:rsidRPr="001B39F8">
              <w:rPr>
                <w:rFonts w:cstheme="minorHAnsi"/>
                <w:color w:val="1F497D"/>
                <w:sz w:val="24"/>
                <w:szCs w:val="24"/>
              </w:rPr>
              <w:t xml:space="preserve">Not totally sure what you mean by </w:t>
            </w:r>
            <w:r w:rsidRPr="001B39F8">
              <w:rPr>
                <w:rFonts w:cstheme="minorHAnsi"/>
                <w:i/>
                <w:iCs/>
                <w:color w:val="1F497D"/>
                <w:sz w:val="24"/>
                <w:szCs w:val="24"/>
              </w:rPr>
              <w:t>progress on initiatives</w:t>
            </w:r>
            <w:r w:rsidRPr="001B39F8">
              <w:rPr>
                <w:rFonts w:cstheme="minorHAnsi"/>
                <w:color w:val="1F497D"/>
                <w:sz w:val="24"/>
                <w:szCs w:val="24"/>
              </w:rPr>
              <w:t>.  If you mean evaluation results of initiatives, no, not really.</w:t>
            </w:r>
          </w:p>
          <w:p w:rsidR="001B39F8" w:rsidRPr="001B39F8" w:rsidRDefault="001B39F8" w:rsidP="001B39F8">
            <w:pPr>
              <w:rPr>
                <w:rFonts w:cstheme="minorHAnsi"/>
                <w:color w:val="1F497D"/>
                <w:sz w:val="24"/>
                <w:szCs w:val="24"/>
              </w:rPr>
            </w:pPr>
          </w:p>
          <w:p w:rsidR="001B39F8" w:rsidRPr="001B39F8" w:rsidRDefault="001B39F8" w:rsidP="001B39F8">
            <w:pPr>
              <w:rPr>
                <w:rFonts w:cstheme="minorHAnsi"/>
                <w:color w:val="1F497D"/>
                <w:sz w:val="24"/>
                <w:szCs w:val="24"/>
              </w:rPr>
            </w:pPr>
            <w:r w:rsidRPr="001B39F8">
              <w:rPr>
                <w:rFonts w:cstheme="minorHAnsi"/>
                <w:color w:val="1F497D"/>
                <w:sz w:val="24"/>
                <w:szCs w:val="24"/>
              </w:rPr>
              <w:t>We do always provide input to the dashboard for the Pan-Canadian Framework for Action on Healthy Weights, but that is not really “results” that is more the implementation status of initiatives that we are undertaking.</w:t>
            </w:r>
          </w:p>
          <w:p w:rsidR="001B39F8" w:rsidRPr="001B39F8" w:rsidRDefault="001B39F8" w:rsidP="001B39F8">
            <w:pPr>
              <w:rPr>
                <w:rFonts w:cstheme="minorHAnsi"/>
                <w:color w:val="1F497D"/>
                <w:sz w:val="24"/>
                <w:szCs w:val="24"/>
              </w:rPr>
            </w:pPr>
          </w:p>
          <w:p w:rsidR="001B39F8" w:rsidRPr="001B39F8" w:rsidRDefault="001B39F8" w:rsidP="001B39F8">
            <w:pPr>
              <w:rPr>
                <w:rFonts w:cstheme="minorHAnsi"/>
                <w:color w:val="1F497D"/>
                <w:sz w:val="24"/>
                <w:szCs w:val="24"/>
              </w:rPr>
            </w:pPr>
            <w:r w:rsidRPr="001B39F8">
              <w:rPr>
                <w:rFonts w:cstheme="minorHAnsi"/>
                <w:color w:val="1F497D"/>
                <w:sz w:val="24"/>
                <w:szCs w:val="24"/>
              </w:rPr>
              <w:t xml:space="preserve">The NB Health Council has a mandate to report on population health. They have recently launched 33 community profiles (covering the whole province) which provide community level data that allows stakeholders to track progress on key indicators linked to determinants of health (socioeconomic, healthy behaviors, physical environment, health services) in their community, indicators are divided into children/youth, adults, seniors.  </w:t>
            </w:r>
            <w:hyperlink r:id="rId24" w:history="1">
              <w:r w:rsidRPr="001B39F8">
                <w:rPr>
                  <w:rStyle w:val="Hyperlink"/>
                  <w:rFonts w:cstheme="minorHAnsi"/>
                  <w:sz w:val="24"/>
                  <w:szCs w:val="24"/>
                </w:rPr>
                <w:t>http://www.nbhc.ca/community-profiles</w:t>
              </w:r>
            </w:hyperlink>
          </w:p>
          <w:p w:rsidR="001B39F8" w:rsidRPr="001B39F8" w:rsidRDefault="001B39F8">
            <w:pPr>
              <w:rPr>
                <w:rFonts w:cstheme="minorHAnsi"/>
                <w:sz w:val="24"/>
                <w:szCs w:val="24"/>
              </w:rPr>
            </w:pPr>
          </w:p>
        </w:tc>
      </w:tr>
      <w:tr w:rsidR="00953074" w:rsidTr="000E5686">
        <w:tc>
          <w:tcPr>
            <w:tcW w:w="1131" w:type="dxa"/>
          </w:tcPr>
          <w:p w:rsidR="00953074" w:rsidRPr="001B39F8" w:rsidRDefault="00953074" w:rsidP="000E5686">
            <w:pPr>
              <w:pStyle w:val="ListParagraph"/>
              <w:numPr>
                <w:ilvl w:val="0"/>
                <w:numId w:val="1"/>
              </w:numPr>
              <w:rPr>
                <w:rFonts w:cstheme="minorHAnsi"/>
                <w:sz w:val="24"/>
                <w:szCs w:val="24"/>
              </w:rPr>
            </w:pPr>
            <w:r w:rsidRPr="001B39F8">
              <w:rPr>
                <w:rFonts w:cstheme="minorHAnsi"/>
                <w:sz w:val="24"/>
                <w:szCs w:val="24"/>
              </w:rPr>
              <w:t>SK</w:t>
            </w:r>
          </w:p>
        </w:tc>
        <w:tc>
          <w:tcPr>
            <w:tcW w:w="12045" w:type="dxa"/>
          </w:tcPr>
          <w:p w:rsidR="00953074" w:rsidRPr="001B39F8" w:rsidRDefault="00953074" w:rsidP="000E5686">
            <w:pPr>
              <w:rPr>
                <w:rFonts w:ascii="Calibri" w:hAnsi="Calibri" w:cs="Calibri"/>
                <w:color w:val="1F497D"/>
                <w:sz w:val="24"/>
                <w:szCs w:val="24"/>
                <w:lang w:val="en-US"/>
              </w:rPr>
            </w:pPr>
            <w:r w:rsidRPr="001B39F8">
              <w:rPr>
                <w:rFonts w:ascii="Calibri" w:hAnsi="Calibri" w:cs="Calibri"/>
                <w:color w:val="1F497D"/>
                <w:sz w:val="24"/>
                <w:szCs w:val="24"/>
                <w:lang w:val="en-US"/>
              </w:rPr>
              <w:t>This request is being discussed by senior leaders in a few of our units and I will respond once they reply. </w:t>
            </w:r>
          </w:p>
          <w:p w:rsidR="00953074" w:rsidRPr="001B39F8" w:rsidRDefault="00953074" w:rsidP="000E5686">
            <w:pPr>
              <w:rPr>
                <w:rFonts w:cstheme="minorHAnsi"/>
                <w:sz w:val="24"/>
                <w:szCs w:val="24"/>
              </w:rPr>
            </w:pPr>
          </w:p>
        </w:tc>
      </w:tr>
      <w:tr w:rsidR="00AF1BDB" w:rsidTr="000E5686">
        <w:tc>
          <w:tcPr>
            <w:tcW w:w="1131" w:type="dxa"/>
          </w:tcPr>
          <w:p w:rsidR="00AF1BDB" w:rsidRPr="001B39F8" w:rsidRDefault="00AF1BDB" w:rsidP="000E5686">
            <w:pPr>
              <w:pStyle w:val="ListParagraph"/>
              <w:numPr>
                <w:ilvl w:val="0"/>
                <w:numId w:val="1"/>
              </w:numPr>
              <w:rPr>
                <w:rFonts w:cstheme="minorHAnsi"/>
                <w:sz w:val="24"/>
                <w:szCs w:val="24"/>
              </w:rPr>
            </w:pPr>
            <w:r w:rsidRPr="001B39F8">
              <w:rPr>
                <w:rFonts w:cstheme="minorHAnsi"/>
                <w:sz w:val="24"/>
                <w:szCs w:val="24"/>
              </w:rPr>
              <w:t>AB</w:t>
            </w:r>
          </w:p>
        </w:tc>
        <w:tc>
          <w:tcPr>
            <w:tcW w:w="12045" w:type="dxa"/>
          </w:tcPr>
          <w:p w:rsidR="00AF1BDB" w:rsidRPr="001B39F8" w:rsidRDefault="00AF1BDB" w:rsidP="000E5686">
            <w:pPr>
              <w:rPr>
                <w:rFonts w:cstheme="minorHAnsi"/>
                <w:sz w:val="24"/>
                <w:szCs w:val="24"/>
              </w:rPr>
            </w:pPr>
            <w:r w:rsidRPr="001B39F8">
              <w:rPr>
                <w:rFonts w:cstheme="minorHAnsi"/>
                <w:sz w:val="24"/>
                <w:szCs w:val="24"/>
              </w:rPr>
              <w:t>No response</w:t>
            </w:r>
          </w:p>
        </w:tc>
      </w:tr>
      <w:tr w:rsidR="00AF1BDB" w:rsidTr="001B39F8">
        <w:tc>
          <w:tcPr>
            <w:tcW w:w="1131" w:type="dxa"/>
          </w:tcPr>
          <w:p w:rsidR="00AF1BDB" w:rsidRPr="001B39F8" w:rsidRDefault="00AF1BDB" w:rsidP="001B39F8">
            <w:pPr>
              <w:pStyle w:val="ListParagraph"/>
              <w:numPr>
                <w:ilvl w:val="0"/>
                <w:numId w:val="1"/>
              </w:numPr>
              <w:rPr>
                <w:rFonts w:cstheme="minorHAnsi"/>
                <w:sz w:val="24"/>
                <w:szCs w:val="24"/>
              </w:rPr>
            </w:pPr>
            <w:r w:rsidRPr="001B39F8">
              <w:rPr>
                <w:rFonts w:cstheme="minorHAnsi"/>
                <w:sz w:val="24"/>
                <w:szCs w:val="24"/>
              </w:rPr>
              <w:lastRenderedPageBreak/>
              <w:t>NU</w:t>
            </w:r>
          </w:p>
        </w:tc>
        <w:tc>
          <w:tcPr>
            <w:tcW w:w="12045" w:type="dxa"/>
          </w:tcPr>
          <w:p w:rsidR="00AF1BDB" w:rsidRDefault="00AF1BDB">
            <w:r w:rsidRPr="00346A75">
              <w:t>No response</w:t>
            </w:r>
          </w:p>
        </w:tc>
      </w:tr>
      <w:tr w:rsidR="00AF1BDB" w:rsidTr="001B39F8">
        <w:tc>
          <w:tcPr>
            <w:tcW w:w="1131" w:type="dxa"/>
          </w:tcPr>
          <w:p w:rsidR="00AF1BDB" w:rsidRPr="001B39F8" w:rsidRDefault="00AF1BDB" w:rsidP="001B39F8">
            <w:pPr>
              <w:pStyle w:val="ListParagraph"/>
              <w:numPr>
                <w:ilvl w:val="0"/>
                <w:numId w:val="1"/>
              </w:numPr>
              <w:rPr>
                <w:rFonts w:cstheme="minorHAnsi"/>
                <w:sz w:val="24"/>
                <w:szCs w:val="24"/>
              </w:rPr>
            </w:pPr>
            <w:r w:rsidRPr="001B39F8">
              <w:rPr>
                <w:rFonts w:cstheme="minorHAnsi"/>
                <w:sz w:val="24"/>
                <w:szCs w:val="24"/>
              </w:rPr>
              <w:t>NWT</w:t>
            </w:r>
          </w:p>
        </w:tc>
        <w:tc>
          <w:tcPr>
            <w:tcW w:w="12045" w:type="dxa"/>
          </w:tcPr>
          <w:p w:rsidR="00AF1BDB" w:rsidRDefault="00AF1BDB">
            <w:r w:rsidRPr="00346A75">
              <w:t>No response</w:t>
            </w:r>
          </w:p>
        </w:tc>
      </w:tr>
      <w:tr w:rsidR="00AF1BDB" w:rsidTr="001B39F8">
        <w:tc>
          <w:tcPr>
            <w:tcW w:w="1131" w:type="dxa"/>
          </w:tcPr>
          <w:p w:rsidR="00AF1BDB" w:rsidRPr="001B39F8" w:rsidRDefault="00AF1BDB" w:rsidP="001B39F8">
            <w:pPr>
              <w:pStyle w:val="ListParagraph"/>
              <w:numPr>
                <w:ilvl w:val="0"/>
                <w:numId w:val="1"/>
              </w:numPr>
              <w:rPr>
                <w:rFonts w:cstheme="minorHAnsi"/>
                <w:sz w:val="24"/>
                <w:szCs w:val="24"/>
              </w:rPr>
            </w:pPr>
            <w:r w:rsidRPr="001B39F8">
              <w:rPr>
                <w:rFonts w:cstheme="minorHAnsi"/>
                <w:sz w:val="24"/>
                <w:szCs w:val="24"/>
              </w:rPr>
              <w:t>YK</w:t>
            </w:r>
          </w:p>
        </w:tc>
        <w:tc>
          <w:tcPr>
            <w:tcW w:w="12045" w:type="dxa"/>
          </w:tcPr>
          <w:p w:rsidR="00AF1BDB" w:rsidRDefault="00AF1BDB">
            <w:r w:rsidRPr="00346A75">
              <w:t>No response</w:t>
            </w:r>
          </w:p>
        </w:tc>
      </w:tr>
      <w:tr w:rsidR="00AF1BDB" w:rsidTr="001B39F8">
        <w:tc>
          <w:tcPr>
            <w:tcW w:w="1131" w:type="dxa"/>
          </w:tcPr>
          <w:p w:rsidR="00AF1BDB" w:rsidRPr="001B39F8" w:rsidRDefault="00AF1BDB" w:rsidP="001B39F8">
            <w:pPr>
              <w:pStyle w:val="ListParagraph"/>
              <w:numPr>
                <w:ilvl w:val="0"/>
                <w:numId w:val="1"/>
              </w:numPr>
              <w:rPr>
                <w:rFonts w:cstheme="minorHAnsi"/>
                <w:sz w:val="24"/>
                <w:szCs w:val="24"/>
              </w:rPr>
            </w:pPr>
            <w:r w:rsidRPr="001B39F8">
              <w:rPr>
                <w:rFonts w:cstheme="minorHAnsi"/>
                <w:sz w:val="24"/>
                <w:szCs w:val="24"/>
              </w:rPr>
              <w:t>NS</w:t>
            </w:r>
          </w:p>
        </w:tc>
        <w:tc>
          <w:tcPr>
            <w:tcW w:w="12045" w:type="dxa"/>
          </w:tcPr>
          <w:p w:rsidR="00AF1BDB" w:rsidRDefault="00AF1BDB">
            <w:r w:rsidRPr="00346A75">
              <w:t>No response</w:t>
            </w:r>
          </w:p>
        </w:tc>
      </w:tr>
    </w:tbl>
    <w:p w:rsidR="004273FB" w:rsidRDefault="00A203CF"/>
    <w:sectPr w:rsidR="004273FB" w:rsidSect="001B39F8">
      <w:foot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D3" w:rsidRDefault="008466D3" w:rsidP="008466D3">
      <w:pPr>
        <w:spacing w:line="240" w:lineRule="auto"/>
      </w:pPr>
      <w:r>
        <w:separator/>
      </w:r>
    </w:p>
  </w:endnote>
  <w:endnote w:type="continuationSeparator" w:id="0">
    <w:p w:rsidR="008466D3" w:rsidRDefault="008466D3" w:rsidP="00846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815932"/>
      <w:docPartObj>
        <w:docPartGallery w:val="Page Numbers (Bottom of Page)"/>
        <w:docPartUnique/>
      </w:docPartObj>
    </w:sdtPr>
    <w:sdtEndPr>
      <w:rPr>
        <w:noProof/>
      </w:rPr>
    </w:sdtEndPr>
    <w:sdtContent>
      <w:p w:rsidR="008466D3" w:rsidRDefault="00595DE8">
        <w:pPr>
          <w:pStyle w:val="Footer"/>
          <w:jc w:val="right"/>
        </w:pPr>
        <w:r>
          <w:fldChar w:fldCharType="begin"/>
        </w:r>
        <w:r w:rsidR="008466D3">
          <w:instrText xml:space="preserve"> PAGE   \* MERGEFORMAT </w:instrText>
        </w:r>
        <w:r>
          <w:fldChar w:fldCharType="separate"/>
        </w:r>
        <w:r w:rsidR="00A203CF">
          <w:rPr>
            <w:noProof/>
          </w:rPr>
          <w:t>1</w:t>
        </w:r>
        <w:r>
          <w:rPr>
            <w:noProof/>
          </w:rPr>
          <w:fldChar w:fldCharType="end"/>
        </w:r>
      </w:p>
    </w:sdtContent>
  </w:sdt>
  <w:p w:rsidR="008466D3" w:rsidRDefault="00846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D3" w:rsidRDefault="008466D3" w:rsidP="008466D3">
      <w:pPr>
        <w:spacing w:line="240" w:lineRule="auto"/>
      </w:pPr>
      <w:r>
        <w:separator/>
      </w:r>
    </w:p>
  </w:footnote>
  <w:footnote w:type="continuationSeparator" w:id="0">
    <w:p w:rsidR="008466D3" w:rsidRDefault="008466D3" w:rsidP="008466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31B4A"/>
    <w:multiLevelType w:val="hybridMultilevel"/>
    <w:tmpl w:val="4914EE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BB8233E"/>
    <w:multiLevelType w:val="multilevel"/>
    <w:tmpl w:val="59707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39F8"/>
    <w:rsid w:val="001A2B8B"/>
    <w:rsid w:val="001B39F8"/>
    <w:rsid w:val="00595DE8"/>
    <w:rsid w:val="006E7E23"/>
    <w:rsid w:val="00815960"/>
    <w:rsid w:val="0083099A"/>
    <w:rsid w:val="008466D3"/>
    <w:rsid w:val="00953074"/>
    <w:rsid w:val="00A203CF"/>
    <w:rsid w:val="00A81B5F"/>
    <w:rsid w:val="00AF1BDB"/>
    <w:rsid w:val="00B01883"/>
    <w:rsid w:val="00EB678C"/>
    <w:rsid w:val="00FD05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E1032-9F76-4363-95B8-B50DD614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9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9F8"/>
    <w:pPr>
      <w:ind w:left="720"/>
      <w:contextualSpacing/>
    </w:pPr>
  </w:style>
  <w:style w:type="character" w:styleId="Hyperlink">
    <w:name w:val="Hyperlink"/>
    <w:basedOn w:val="DefaultParagraphFont"/>
    <w:uiPriority w:val="99"/>
    <w:semiHidden/>
    <w:unhideWhenUsed/>
    <w:rsid w:val="001B39F8"/>
    <w:rPr>
      <w:color w:val="0000FF"/>
      <w:u w:val="single"/>
    </w:rPr>
  </w:style>
  <w:style w:type="paragraph" w:styleId="PlainText">
    <w:name w:val="Plain Text"/>
    <w:basedOn w:val="Normal"/>
    <w:link w:val="PlainTextChar"/>
    <w:uiPriority w:val="99"/>
    <w:semiHidden/>
    <w:unhideWhenUsed/>
    <w:rsid w:val="001B39F8"/>
    <w:pPr>
      <w:spacing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B39F8"/>
    <w:rPr>
      <w:rFonts w:ascii="Calibri" w:hAnsi="Calibri" w:cs="Consolas"/>
      <w:szCs w:val="21"/>
    </w:rPr>
  </w:style>
  <w:style w:type="character" w:styleId="FollowedHyperlink">
    <w:name w:val="FollowedHyperlink"/>
    <w:basedOn w:val="DefaultParagraphFont"/>
    <w:uiPriority w:val="99"/>
    <w:semiHidden/>
    <w:unhideWhenUsed/>
    <w:rsid w:val="001B39F8"/>
    <w:rPr>
      <w:color w:val="800080" w:themeColor="followedHyperlink"/>
      <w:u w:val="single"/>
    </w:rPr>
  </w:style>
  <w:style w:type="paragraph" w:styleId="Header">
    <w:name w:val="header"/>
    <w:basedOn w:val="Normal"/>
    <w:link w:val="HeaderChar"/>
    <w:uiPriority w:val="99"/>
    <w:unhideWhenUsed/>
    <w:rsid w:val="008466D3"/>
    <w:pPr>
      <w:tabs>
        <w:tab w:val="center" w:pos="4680"/>
        <w:tab w:val="right" w:pos="9360"/>
      </w:tabs>
      <w:spacing w:line="240" w:lineRule="auto"/>
    </w:pPr>
  </w:style>
  <w:style w:type="character" w:customStyle="1" w:styleId="HeaderChar">
    <w:name w:val="Header Char"/>
    <w:basedOn w:val="DefaultParagraphFont"/>
    <w:link w:val="Header"/>
    <w:uiPriority w:val="99"/>
    <w:rsid w:val="008466D3"/>
  </w:style>
  <w:style w:type="paragraph" w:styleId="Footer">
    <w:name w:val="footer"/>
    <w:basedOn w:val="Normal"/>
    <w:link w:val="FooterChar"/>
    <w:uiPriority w:val="99"/>
    <w:unhideWhenUsed/>
    <w:rsid w:val="008466D3"/>
    <w:pPr>
      <w:tabs>
        <w:tab w:val="center" w:pos="4680"/>
        <w:tab w:val="right" w:pos="9360"/>
      </w:tabs>
      <w:spacing w:line="240" w:lineRule="auto"/>
    </w:pPr>
  </w:style>
  <w:style w:type="character" w:customStyle="1" w:styleId="FooterChar">
    <w:name w:val="Footer Char"/>
    <w:basedOn w:val="DefaultParagraphFont"/>
    <w:link w:val="Footer"/>
    <w:uiPriority w:val="99"/>
    <w:rsid w:val="008466D3"/>
  </w:style>
  <w:style w:type="paragraph" w:styleId="NormalWeb">
    <w:name w:val="Normal (Web)"/>
    <w:basedOn w:val="Normal"/>
    <w:uiPriority w:val="99"/>
    <w:semiHidden/>
    <w:unhideWhenUsed/>
    <w:rsid w:val="00953074"/>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953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1799">
      <w:bodyDiv w:val="1"/>
      <w:marLeft w:val="0"/>
      <w:marRight w:val="0"/>
      <w:marTop w:val="0"/>
      <w:marBottom w:val="0"/>
      <w:divBdr>
        <w:top w:val="none" w:sz="0" w:space="0" w:color="auto"/>
        <w:left w:val="none" w:sz="0" w:space="0" w:color="auto"/>
        <w:bottom w:val="none" w:sz="0" w:space="0" w:color="auto"/>
        <w:right w:val="none" w:sz="0" w:space="0" w:color="auto"/>
      </w:divBdr>
    </w:div>
    <w:div w:id="111170065">
      <w:bodyDiv w:val="1"/>
      <w:marLeft w:val="0"/>
      <w:marRight w:val="0"/>
      <w:marTop w:val="0"/>
      <w:marBottom w:val="0"/>
      <w:divBdr>
        <w:top w:val="none" w:sz="0" w:space="0" w:color="auto"/>
        <w:left w:val="none" w:sz="0" w:space="0" w:color="auto"/>
        <w:bottom w:val="none" w:sz="0" w:space="0" w:color="auto"/>
        <w:right w:val="none" w:sz="0" w:space="0" w:color="auto"/>
      </w:divBdr>
    </w:div>
    <w:div w:id="264074058">
      <w:bodyDiv w:val="1"/>
      <w:marLeft w:val="0"/>
      <w:marRight w:val="0"/>
      <w:marTop w:val="0"/>
      <w:marBottom w:val="0"/>
      <w:divBdr>
        <w:top w:val="none" w:sz="0" w:space="0" w:color="auto"/>
        <w:left w:val="none" w:sz="0" w:space="0" w:color="auto"/>
        <w:bottom w:val="none" w:sz="0" w:space="0" w:color="auto"/>
        <w:right w:val="none" w:sz="0" w:space="0" w:color="auto"/>
      </w:divBdr>
    </w:div>
    <w:div w:id="290333513">
      <w:bodyDiv w:val="1"/>
      <w:marLeft w:val="0"/>
      <w:marRight w:val="0"/>
      <w:marTop w:val="0"/>
      <w:marBottom w:val="0"/>
      <w:divBdr>
        <w:top w:val="none" w:sz="0" w:space="0" w:color="auto"/>
        <w:left w:val="none" w:sz="0" w:space="0" w:color="auto"/>
        <w:bottom w:val="none" w:sz="0" w:space="0" w:color="auto"/>
        <w:right w:val="none" w:sz="0" w:space="0" w:color="auto"/>
      </w:divBdr>
    </w:div>
    <w:div w:id="583032143">
      <w:bodyDiv w:val="1"/>
      <w:marLeft w:val="0"/>
      <w:marRight w:val="0"/>
      <w:marTop w:val="0"/>
      <w:marBottom w:val="0"/>
      <w:divBdr>
        <w:top w:val="none" w:sz="0" w:space="0" w:color="auto"/>
        <w:left w:val="none" w:sz="0" w:space="0" w:color="auto"/>
        <w:bottom w:val="none" w:sz="0" w:space="0" w:color="auto"/>
        <w:right w:val="none" w:sz="0" w:space="0" w:color="auto"/>
      </w:divBdr>
    </w:div>
    <w:div w:id="800882569">
      <w:bodyDiv w:val="1"/>
      <w:marLeft w:val="0"/>
      <w:marRight w:val="0"/>
      <w:marTop w:val="0"/>
      <w:marBottom w:val="0"/>
      <w:divBdr>
        <w:top w:val="none" w:sz="0" w:space="0" w:color="auto"/>
        <w:left w:val="none" w:sz="0" w:space="0" w:color="auto"/>
        <w:bottom w:val="none" w:sz="0" w:space="0" w:color="auto"/>
        <w:right w:val="none" w:sz="0" w:space="0" w:color="auto"/>
      </w:divBdr>
    </w:div>
    <w:div w:id="16224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f.gov.bc.ca/early_childhood/pdf/EarlyYearsAnnualReport2012.pdf" TargetMode="External"/><Relationship Id="rId13" Type="http://schemas.openxmlformats.org/officeDocument/2006/relationships/hyperlink" Target="http://earlylearning.ubc.ca/edi/" TargetMode="External"/><Relationship Id="rId18" Type="http://schemas.openxmlformats.org/officeDocument/2006/relationships/hyperlink" Target="http://web2.gov.mb.ca/laws/statutes/ccsm/h037e.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d.gov.nl.ca/edu/earlychildhood/initiatives.html" TargetMode="External"/><Relationship Id="rId7" Type="http://schemas.openxmlformats.org/officeDocument/2006/relationships/hyperlink" Target="http://www.health.gov.bc.ca/library/publications/year/2013/BC-guiding-framework-for-public-health.pdf" TargetMode="External"/><Relationship Id="rId12" Type="http://schemas.openxmlformats.org/officeDocument/2006/relationships/hyperlink" Target="http://www.mcs.bc.ca/pdf/From_Hastings_Street_To_Haida_Gwaii.pdf" TargetMode="External"/><Relationship Id="rId17" Type="http://schemas.openxmlformats.org/officeDocument/2006/relationships/hyperlink" Target="http://www.gov.mb.ca/healthyschools/foodinschools/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ealthy.healthincommon.ca/organization/evaluations-and-reports/" TargetMode="External"/><Relationship Id="rId20" Type="http://schemas.openxmlformats.org/officeDocument/2006/relationships/hyperlink" Target="http://www.ed.gov.nl.ca/edu/publications/annualreports/doe_ar13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bc.ca/library/publications/year/2011/HMHP-progressreport-2011.pdf" TargetMode="External"/><Relationship Id="rId24" Type="http://schemas.openxmlformats.org/officeDocument/2006/relationships/hyperlink" Target="http://www.nbhc.ca/community-profiles" TargetMode="External"/><Relationship Id="rId5" Type="http://schemas.openxmlformats.org/officeDocument/2006/relationships/footnotes" Target="footnotes.xml"/><Relationship Id="rId15" Type="http://schemas.openxmlformats.org/officeDocument/2006/relationships/hyperlink" Target="http://www.gov.mb.ca/health/cppho/" TargetMode="External"/><Relationship Id="rId23" Type="http://schemas.openxmlformats.org/officeDocument/2006/relationships/hyperlink" Target="http://www.health.gov.nl.ca/health/publications/Provincial_Wellness_Advisory_Council_2014-17_Activity_Plan.pdf" TargetMode="External"/><Relationship Id="rId10" Type="http://schemas.openxmlformats.org/officeDocument/2006/relationships/hyperlink" Target="http://www.healthyschoolsbc.ca/" TargetMode="External"/><Relationship Id="rId19" Type="http://schemas.openxmlformats.org/officeDocument/2006/relationships/hyperlink" Target="http://www.gov.mb.ca/healthychild/2012report.html" TargetMode="External"/><Relationship Id="rId4" Type="http://schemas.openxmlformats.org/officeDocument/2006/relationships/webSettings" Target="webSettings.xml"/><Relationship Id="rId9" Type="http://schemas.openxmlformats.org/officeDocument/2006/relationships/hyperlink" Target="http://www.health.gov.bc.ca/women-and-children/pdf/provincial-kindergarten-dental-survey-2012-13.pdf" TargetMode="External"/><Relationship Id="rId14" Type="http://schemas.openxmlformats.org/officeDocument/2006/relationships/hyperlink" Target="http://www.bced.gov.bc.ca/sat_survey/" TargetMode="External"/><Relationship Id="rId22" Type="http://schemas.openxmlformats.org/officeDocument/2006/relationships/hyperlink" Target="%20http:/www.health.gov.nl.ca/health/publications/DHCS_Annual_Performance_Report_2012-13.pdf%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Munro-Galloway, Jennifer (EDU)</dc:creator>
  <cp:lastModifiedBy>Susan Hornby</cp:lastModifiedBy>
  <cp:revision>3</cp:revision>
  <dcterms:created xsi:type="dcterms:W3CDTF">2014-10-23T17:34:00Z</dcterms:created>
  <dcterms:modified xsi:type="dcterms:W3CDTF">2020-03-05T19:23:00Z</dcterms:modified>
</cp:coreProperties>
</file>